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3691F"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93691F" w:rsidP="0093691F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23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Ocak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406BDF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Ocak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93691F">
        <w:rPr>
          <w:rFonts w:ascii="Times New Roman" w:hAnsi="Times New Roman" w:cs="Times New Roman"/>
          <w:b/>
          <w:sz w:val="24"/>
          <w:szCs w:val="24"/>
        </w:rPr>
        <w:t>23</w:t>
      </w:r>
      <w:r w:rsidR="00E402F1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91F">
        <w:rPr>
          <w:rFonts w:ascii="Times New Roman" w:hAnsi="Times New Roman" w:cs="Times New Roman"/>
          <w:b/>
          <w:sz w:val="24"/>
          <w:szCs w:val="24"/>
        </w:rPr>
        <w:t>Ocak</w:t>
      </w:r>
      <w:r w:rsidR="009577EA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2C030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242BC9">
        <w:t xml:space="preserve"> </w:t>
      </w:r>
      <w:r w:rsidR="00D60AC3">
        <w:t>azalış</w:t>
      </w:r>
      <w:r w:rsidR="008E52E9">
        <w:t xml:space="preserve"> </w:t>
      </w:r>
      <w:r w:rsidR="004E7EAF">
        <w:t>sergilemiştir</w:t>
      </w:r>
      <w:r w:rsidRPr="00586863">
        <w:t>.</w:t>
      </w:r>
    </w:p>
    <w:p w:rsidR="00586863" w:rsidRDefault="0093691F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Aralık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proofErr w:type="gramStart"/>
      <w:r w:rsidR="00667C16">
        <w:rPr>
          <w:rFonts w:ascii="Times New Roman" w:hAnsi="Times New Roman" w:cs="Times New Roman"/>
          <w:sz w:val="24"/>
          <w:szCs w:val="24"/>
        </w:rPr>
        <w:t>58.7</w:t>
      </w:r>
      <w:proofErr w:type="gramEnd"/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EA732B">
        <w:rPr>
          <w:rFonts w:ascii="Times New Roman" w:hAnsi="Times New Roman" w:cs="Times New Roman"/>
          <w:sz w:val="24"/>
          <w:szCs w:val="24"/>
        </w:rPr>
        <w:t>2019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Ocak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667C16">
        <w:rPr>
          <w:rFonts w:ascii="Times New Roman" w:hAnsi="Times New Roman" w:cs="Times New Roman"/>
          <w:sz w:val="24"/>
          <w:szCs w:val="24"/>
        </w:rPr>
        <w:t>0.5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667C16">
        <w:rPr>
          <w:rFonts w:ascii="Times New Roman" w:hAnsi="Times New Roman" w:cs="Times New Roman"/>
          <w:sz w:val="24"/>
          <w:szCs w:val="24"/>
        </w:rPr>
        <w:t>azalarak</w:t>
      </w:r>
      <w:r w:rsidR="008E52E9">
        <w:rPr>
          <w:rFonts w:ascii="Times New Roman" w:hAnsi="Times New Roman" w:cs="Times New Roman"/>
          <w:sz w:val="24"/>
          <w:szCs w:val="24"/>
        </w:rPr>
        <w:t xml:space="preserve"> </w:t>
      </w:r>
      <w:r w:rsidR="00667C16">
        <w:rPr>
          <w:rFonts w:ascii="Times New Roman" w:hAnsi="Times New Roman" w:cs="Times New Roman"/>
          <w:sz w:val="24"/>
          <w:szCs w:val="24"/>
        </w:rPr>
        <w:t>58.2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667C16">
        <w:rPr>
          <w:rFonts w:ascii="Times New Roman" w:hAnsi="Times New Roman" w:cs="Times New Roman"/>
          <w:sz w:val="24"/>
          <w:szCs w:val="24"/>
        </w:rPr>
        <w:t>gerilemiştir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>
        <w:rPr>
          <w:rFonts w:ascii="Times New Roman" w:hAnsi="Times New Roman" w:cs="Times New Roman"/>
          <w:sz w:val="24"/>
          <w:szCs w:val="24"/>
        </w:rPr>
        <w:t>azalışın</w:t>
      </w:r>
      <w:r w:rsidR="00667C16">
        <w:rPr>
          <w:rFonts w:ascii="Times New Roman" w:hAnsi="Times New Roman" w:cs="Times New Roman"/>
          <w:sz w:val="24"/>
          <w:szCs w:val="24"/>
        </w:rPr>
        <w:t>la birlikte bu eğilimine devam etmektedir</w:t>
      </w:r>
      <w:r w:rsidR="00E60A5E">
        <w:rPr>
          <w:rFonts w:ascii="Times New Roman" w:hAnsi="Times New Roman" w:cs="Times New Roman"/>
          <w:sz w:val="24"/>
          <w:szCs w:val="24"/>
        </w:rPr>
        <w:t xml:space="preserve">.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proofErr w:type="gramStart"/>
      <w:r>
        <w:rPr>
          <w:rFonts w:ascii="Times New Roman" w:hAnsi="Times New Roman" w:cs="Times New Roman"/>
          <w:sz w:val="24"/>
          <w:szCs w:val="24"/>
        </w:rPr>
        <w:t>13.8</w:t>
      </w:r>
      <w:proofErr w:type="gramEnd"/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>
        <w:rPr>
          <w:rFonts w:ascii="Times New Roman" w:hAnsi="Times New Roman" w:cs="Times New Roman"/>
          <w:sz w:val="24"/>
          <w:szCs w:val="24"/>
        </w:rPr>
        <w:t>azalış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806CB6">
        <w:t xml:space="preserve"> 2018</w:t>
      </w:r>
      <w:r>
        <w:t>-</w:t>
      </w:r>
      <w:r w:rsidR="0093691F">
        <w:t>Ocak</w:t>
      </w:r>
      <w:r w:rsidR="009577EA">
        <w:t xml:space="preserve"> </w:t>
      </w:r>
      <w:r w:rsidR="00806CB6">
        <w:t>2019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Pr="00AF4C7B" w:rsidRDefault="00CF66DE" w:rsidP="00912B4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8051E0">
        <w:rPr>
          <w:rFonts w:ascii="Times New Roman" w:hAnsi="Times New Roman" w:cs="Times New Roman"/>
          <w:sz w:val="24"/>
          <w:szCs w:val="24"/>
        </w:rPr>
        <w:t xml:space="preserve">değişmediği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3691F">
        <w:rPr>
          <w:rFonts w:ascii="Times New Roman" w:hAnsi="Times New Roman" w:cs="Times New Roman"/>
          <w:sz w:val="24"/>
          <w:szCs w:val="24"/>
        </w:rPr>
        <w:t>0</w:t>
      </w:r>
      <w:r w:rsidR="00342FD7">
        <w:rPr>
          <w:rFonts w:ascii="Times New Roman" w:hAnsi="Times New Roman" w:cs="Times New Roman"/>
          <w:sz w:val="24"/>
          <w:szCs w:val="24"/>
        </w:rPr>
        <w:t>.5</w:t>
      </w:r>
      <w:proofErr w:type="gramEnd"/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93691F">
        <w:rPr>
          <w:rFonts w:ascii="Times New Roman" w:hAnsi="Times New Roman" w:cs="Times New Roman"/>
          <w:sz w:val="24"/>
          <w:szCs w:val="24"/>
        </w:rPr>
        <w:t>iyileştiği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93691F">
        <w:rPr>
          <w:rFonts w:ascii="Times New Roman" w:hAnsi="Times New Roman" w:cs="Times New Roman"/>
          <w:sz w:val="24"/>
          <w:szCs w:val="24"/>
        </w:rPr>
        <w:t>1.8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E85590">
        <w:rPr>
          <w:rFonts w:ascii="Times New Roman" w:hAnsi="Times New Roman" w:cs="Times New Roman"/>
          <w:sz w:val="24"/>
          <w:szCs w:val="24"/>
        </w:rPr>
        <w:t>a</w:t>
      </w:r>
      <w:r w:rsidR="0093691F">
        <w:rPr>
          <w:rFonts w:ascii="Times New Roman" w:hAnsi="Times New Roman" w:cs="Times New Roman"/>
          <w:sz w:val="24"/>
          <w:szCs w:val="24"/>
        </w:rPr>
        <w:t>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BA5148">
        <w:rPr>
          <w:rFonts w:ascii="Times New Roman" w:hAnsi="Times New Roman" w:cs="Times New Roman"/>
          <w:sz w:val="24"/>
          <w:szCs w:val="24"/>
        </w:rPr>
        <w:t>Tasarruf etme ihtimalinde</w:t>
      </w:r>
      <w:r w:rsidR="00E85590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ise</w:t>
      </w:r>
      <w:r w:rsidR="004E7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91F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B60484">
        <w:rPr>
          <w:rFonts w:ascii="Times New Roman" w:hAnsi="Times New Roman" w:cs="Times New Roman"/>
          <w:sz w:val="24"/>
          <w:szCs w:val="24"/>
        </w:rPr>
        <w:t xml:space="preserve"> </w:t>
      </w:r>
      <w:r w:rsidR="005F5743">
        <w:rPr>
          <w:rFonts w:ascii="Times New Roman" w:hAnsi="Times New Roman" w:cs="Times New Roman"/>
          <w:sz w:val="24"/>
          <w:szCs w:val="24"/>
        </w:rPr>
        <w:t>puan</w:t>
      </w:r>
      <w:r w:rsidR="006B1E56">
        <w:rPr>
          <w:rFonts w:ascii="Times New Roman" w:hAnsi="Times New Roman" w:cs="Times New Roman"/>
          <w:sz w:val="24"/>
          <w:szCs w:val="24"/>
        </w:rPr>
        <w:t xml:space="preserve"> </w:t>
      </w:r>
      <w:r w:rsidR="0093691F">
        <w:rPr>
          <w:rFonts w:ascii="Times New Roman" w:hAnsi="Times New Roman" w:cs="Times New Roman"/>
          <w:sz w:val="24"/>
          <w:szCs w:val="24"/>
        </w:rPr>
        <w:t>gerileme</w:t>
      </w:r>
      <w:r w:rsidR="004E7EAF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Bir Önceki Aya Göre Değişim O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>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415908" w:rsidRDefault="002C0307" w:rsidP="002C0307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415908" w:rsidRDefault="0093691F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Aralık’18</w:t>
            </w:r>
          </w:p>
        </w:tc>
        <w:tc>
          <w:tcPr>
            <w:tcW w:w="1328" w:type="dxa"/>
            <w:noWrap/>
            <w:hideMark/>
          </w:tcPr>
          <w:p w:rsidR="002C0307" w:rsidRPr="00415908" w:rsidRDefault="0093691F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Ocak’19</w:t>
            </w:r>
          </w:p>
        </w:tc>
        <w:tc>
          <w:tcPr>
            <w:tcW w:w="1300" w:type="dxa"/>
          </w:tcPr>
          <w:p w:rsidR="002C0307" w:rsidRPr="00415908" w:rsidRDefault="0093691F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Aralık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93691F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Ocak’19</w:t>
            </w:r>
          </w:p>
        </w:tc>
      </w:tr>
      <w:tr w:rsidR="002C0307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2C0307" w:rsidRPr="00146AE4" w:rsidRDefault="002C0307" w:rsidP="002C0307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58.7</w:t>
            </w:r>
          </w:p>
        </w:tc>
        <w:tc>
          <w:tcPr>
            <w:tcW w:w="1328" w:type="dxa"/>
            <w:noWrap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58.2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-2.2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-0.9</w:t>
            </w:r>
          </w:p>
        </w:tc>
      </w:tr>
      <w:tr w:rsidR="002C0307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2C0307" w:rsidRPr="00146AE4" w:rsidRDefault="002C0307" w:rsidP="002C0307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2C0307" w:rsidRPr="00146AE4" w:rsidRDefault="008051E0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75.3</w:t>
            </w:r>
          </w:p>
        </w:tc>
        <w:tc>
          <w:tcPr>
            <w:tcW w:w="1328" w:type="dxa"/>
            <w:noWrap/>
          </w:tcPr>
          <w:p w:rsidR="002C0307" w:rsidRPr="00146AE4" w:rsidRDefault="008051E0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77.1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-2.9</w:t>
            </w:r>
          </w:p>
        </w:tc>
        <w:tc>
          <w:tcPr>
            <w:tcW w:w="1300" w:type="dxa"/>
          </w:tcPr>
          <w:p w:rsidR="002C0307" w:rsidRPr="00146AE4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2.4</w:t>
            </w:r>
          </w:p>
        </w:tc>
      </w:tr>
      <w:tr w:rsidR="002C0307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2C0307" w:rsidRPr="00146AE4" w:rsidRDefault="002C0307" w:rsidP="002C0307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76.0</w:t>
            </w:r>
          </w:p>
        </w:tc>
        <w:tc>
          <w:tcPr>
            <w:tcW w:w="1328" w:type="dxa"/>
            <w:noWrap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76.5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-1.7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0.6</w:t>
            </w:r>
          </w:p>
        </w:tc>
      </w:tr>
      <w:tr w:rsidR="002C0307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146AE4" w:rsidRDefault="002C0307" w:rsidP="002C0307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79" w:type="dxa"/>
            <w:noWrap/>
          </w:tcPr>
          <w:p w:rsidR="002C0307" w:rsidRPr="00146AE4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60.9</w:t>
            </w:r>
          </w:p>
        </w:tc>
        <w:tc>
          <w:tcPr>
            <w:tcW w:w="1328" w:type="dxa"/>
            <w:noWrap/>
          </w:tcPr>
          <w:p w:rsidR="002C0307" w:rsidRPr="00146AE4" w:rsidRDefault="008051E0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60.9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-3.9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-0.1</w:t>
            </w:r>
          </w:p>
        </w:tc>
      </w:tr>
      <w:tr w:rsidR="002C0307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2C0307" w:rsidRPr="00146AE4" w:rsidRDefault="002C0307" w:rsidP="002C0307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22.7</w:t>
            </w:r>
          </w:p>
        </w:tc>
        <w:tc>
          <w:tcPr>
            <w:tcW w:w="1328" w:type="dxa"/>
            <w:noWrap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18.3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4.0</w:t>
            </w:r>
          </w:p>
        </w:tc>
        <w:tc>
          <w:tcPr>
            <w:tcW w:w="1300" w:type="dxa"/>
          </w:tcPr>
          <w:p w:rsidR="002C0307" w:rsidRPr="00146AE4" w:rsidRDefault="008051E0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-19.2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EB" w:rsidRDefault="00E615EB" w:rsidP="007065F8">
      <w:pPr>
        <w:spacing w:after="0" w:line="240" w:lineRule="auto"/>
      </w:pPr>
      <w:r>
        <w:separator/>
      </w:r>
    </w:p>
  </w:endnote>
  <w:endnote w:type="continuationSeparator" w:id="0">
    <w:p w:rsidR="00E615EB" w:rsidRDefault="00E615EB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226295"/>
      <w:docPartObj>
        <w:docPartGallery w:val="Page Numbers (Bottom of Page)"/>
        <w:docPartUnique/>
      </w:docPartObj>
    </w:sdtPr>
    <w:sdtContent>
      <w:p w:rsidR="00B7028E" w:rsidRDefault="00B7028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028E" w:rsidRDefault="00B702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EB" w:rsidRDefault="00E615EB" w:rsidP="007065F8">
      <w:pPr>
        <w:spacing w:after="0" w:line="240" w:lineRule="auto"/>
      </w:pPr>
      <w:r>
        <w:separator/>
      </w:r>
    </w:p>
  </w:footnote>
  <w:footnote w:type="continuationSeparator" w:id="0">
    <w:p w:rsidR="00E615EB" w:rsidRDefault="00E615EB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53EA"/>
    <w:rsid w:val="00055C6E"/>
    <w:rsid w:val="00056A46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428F3"/>
    <w:rsid w:val="00146AE4"/>
    <w:rsid w:val="001504A1"/>
    <w:rsid w:val="001569B6"/>
    <w:rsid w:val="00161A8A"/>
    <w:rsid w:val="00184AC2"/>
    <w:rsid w:val="001871D2"/>
    <w:rsid w:val="0019235B"/>
    <w:rsid w:val="00194C9C"/>
    <w:rsid w:val="001A1012"/>
    <w:rsid w:val="001C338D"/>
    <w:rsid w:val="001C43D2"/>
    <w:rsid w:val="001C6B53"/>
    <w:rsid w:val="001F27B9"/>
    <w:rsid w:val="001F424F"/>
    <w:rsid w:val="002031C4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C0307"/>
    <w:rsid w:val="002C4B95"/>
    <w:rsid w:val="002C6F9B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D4079"/>
    <w:rsid w:val="003D5DD2"/>
    <w:rsid w:val="003D5E75"/>
    <w:rsid w:val="003E67C3"/>
    <w:rsid w:val="003F6E65"/>
    <w:rsid w:val="00400235"/>
    <w:rsid w:val="00403BE3"/>
    <w:rsid w:val="00404F0A"/>
    <w:rsid w:val="00406BDF"/>
    <w:rsid w:val="0041107D"/>
    <w:rsid w:val="004205AF"/>
    <w:rsid w:val="00421F8C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4715"/>
    <w:rsid w:val="0050095C"/>
    <w:rsid w:val="00503902"/>
    <w:rsid w:val="00507985"/>
    <w:rsid w:val="00514C5A"/>
    <w:rsid w:val="00515342"/>
    <w:rsid w:val="00520621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D3B67"/>
    <w:rsid w:val="005E5A3C"/>
    <w:rsid w:val="005F5743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67C16"/>
    <w:rsid w:val="00677CBE"/>
    <w:rsid w:val="00697924"/>
    <w:rsid w:val="006A216B"/>
    <w:rsid w:val="006A47B3"/>
    <w:rsid w:val="006B1E56"/>
    <w:rsid w:val="006B3567"/>
    <w:rsid w:val="006C59D9"/>
    <w:rsid w:val="006E0E9A"/>
    <w:rsid w:val="006E72F9"/>
    <w:rsid w:val="007065F8"/>
    <w:rsid w:val="00717468"/>
    <w:rsid w:val="00723AC6"/>
    <w:rsid w:val="00727627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51E0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3691F"/>
    <w:rsid w:val="0094548D"/>
    <w:rsid w:val="00947AB4"/>
    <w:rsid w:val="009577EA"/>
    <w:rsid w:val="009661E0"/>
    <w:rsid w:val="009904DB"/>
    <w:rsid w:val="009912EC"/>
    <w:rsid w:val="009A24D6"/>
    <w:rsid w:val="009A35D6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D3006"/>
    <w:rsid w:val="00AE095C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028E"/>
    <w:rsid w:val="00B77657"/>
    <w:rsid w:val="00B85A44"/>
    <w:rsid w:val="00BA30E4"/>
    <w:rsid w:val="00BA514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08D5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6F30"/>
    <w:rsid w:val="00D17FFB"/>
    <w:rsid w:val="00D24657"/>
    <w:rsid w:val="00D24FB2"/>
    <w:rsid w:val="00D3291D"/>
    <w:rsid w:val="00D3518B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A00E5"/>
    <w:rsid w:val="00DC0BE4"/>
    <w:rsid w:val="00DC26FB"/>
    <w:rsid w:val="00DC71DD"/>
    <w:rsid w:val="00DD507E"/>
    <w:rsid w:val="00DE2727"/>
    <w:rsid w:val="00E0706D"/>
    <w:rsid w:val="00E313B7"/>
    <w:rsid w:val="00E402F1"/>
    <w:rsid w:val="00E45688"/>
    <w:rsid w:val="00E53300"/>
    <w:rsid w:val="00E60A5E"/>
    <w:rsid w:val="00E615EB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37"/>
    <w:rsid w:val="00F56154"/>
    <w:rsid w:val="00F642FF"/>
    <w:rsid w:val="00F64EAF"/>
    <w:rsid w:val="00F90C4B"/>
    <w:rsid w:val="00F91582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E0-4A82-A3BA-27A83B444FF5}"/>
                </c:ext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0-4A82-A3BA-27A83B444FF5}"/>
                </c:ext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0-4A82-A3BA-27A83B444FF5}"/>
                </c:ext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0-4A82-A3BA-27A83B444FF5}"/>
                </c:ext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E0-4A82-A3BA-27A83B444FF5}"/>
                </c:ext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E0-4A82-A3BA-27A83B444FF5}"/>
                </c:ext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0-4A82-A3BA-27A83B444FF5}"/>
                </c:ext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 formatCode="0.0">
                  <c:v>58.202542119357197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4126464"/>
        <c:axId val="184132352"/>
      </c:lineChart>
      <c:catAx>
        <c:axId val="18412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132352"/>
        <c:crosses val="autoZero"/>
        <c:auto val="1"/>
        <c:lblAlgn val="ctr"/>
        <c:lblOffset val="100"/>
        <c:noMultiLvlLbl val="0"/>
      </c:catAx>
      <c:valAx>
        <c:axId val="184132352"/>
        <c:scaling>
          <c:orientation val="minMax"/>
          <c:min val="55"/>
        </c:scaling>
        <c:delete val="0"/>
        <c:axPos val="l"/>
        <c:numFmt formatCode="0.0" sourceLinked="1"/>
        <c:majorTickMark val="out"/>
        <c:minorTickMark val="none"/>
        <c:tickLblPos val="nextTo"/>
        <c:crossAx val="184126464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Asus11PC</cp:lastModifiedBy>
  <cp:revision>14</cp:revision>
  <cp:lastPrinted>2017-06-22T11:04:00Z</cp:lastPrinted>
  <dcterms:created xsi:type="dcterms:W3CDTF">2019-02-26T08:40:00Z</dcterms:created>
  <dcterms:modified xsi:type="dcterms:W3CDTF">2019-02-26T11:47:00Z</dcterms:modified>
</cp:coreProperties>
</file>