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E20DB4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6A458B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6A458B" w:rsidP="00E20DB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14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Mayıs</w:t>
            </w:r>
            <w:r w:rsidR="0020104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7DC6B258" wp14:editId="4AB4DC6B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6A458B" w:rsidP="00AD2065">
      <w:pPr>
        <w:rPr>
          <w:b/>
        </w:rPr>
      </w:pPr>
      <w:r>
        <w:rPr>
          <w:b/>
        </w:rPr>
        <w:t>Mart</w:t>
      </w:r>
      <w:r w:rsidR="00E20DB4">
        <w:rPr>
          <w:b/>
        </w:rPr>
        <w:t xml:space="preserve"> 2019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14</w:t>
      </w:r>
      <w:r w:rsidR="00D16216">
        <w:rPr>
          <w:b/>
        </w:rPr>
        <w:t xml:space="preserve"> </w:t>
      </w:r>
      <w:r>
        <w:rPr>
          <w:b/>
        </w:rPr>
        <w:t>Mayıs</w:t>
      </w:r>
      <w:r w:rsidR="00145A62">
        <w:rPr>
          <w:b/>
        </w:rPr>
        <w:t xml:space="preserve"> </w:t>
      </w:r>
      <w:r w:rsidR="004C3440">
        <w:rPr>
          <w:b/>
        </w:rPr>
        <w:t>2019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130316" w:rsidRPr="006D330B" w:rsidRDefault="00FD0F6A" w:rsidP="00130316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6A458B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170900F0" wp14:editId="44C1BA8B">
            <wp:extent cx="5972175" cy="2381250"/>
            <wp:effectExtent l="0" t="0" r="952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863219" w:rsidRDefault="006A458B" w:rsidP="00C144CC">
      <w:pPr>
        <w:jc w:val="both"/>
      </w:pPr>
      <w:r w:rsidRPr="00863219">
        <w:t>Mart</w:t>
      </w:r>
      <w:r w:rsidR="00574C38" w:rsidRPr="00863219">
        <w:t xml:space="preserve"> ayında Türkiye (TR) Geneli </w:t>
      </w:r>
      <w:r w:rsidR="007B58E6" w:rsidRPr="00863219">
        <w:t>Sanayi Üretim Endeksi</w:t>
      </w:r>
      <w:r w:rsidR="00574C38" w:rsidRPr="00863219">
        <w:t xml:space="preserve"> </w:t>
      </w:r>
      <w:r w:rsidR="00EE2F80" w:rsidRPr="00863219">
        <w:rPr>
          <w:b/>
          <w:u w:val="single"/>
        </w:rPr>
        <w:t>bir önceki aya (</w:t>
      </w:r>
      <w:r w:rsidRPr="00863219">
        <w:rPr>
          <w:b/>
          <w:u w:val="single"/>
        </w:rPr>
        <w:t>Şubat</w:t>
      </w:r>
      <w:r w:rsidR="00CE1205" w:rsidRPr="00863219">
        <w:rPr>
          <w:b/>
          <w:u w:val="single"/>
        </w:rPr>
        <w:t xml:space="preserve"> 2019</w:t>
      </w:r>
      <w:r w:rsidR="00574C38" w:rsidRPr="00863219">
        <w:rPr>
          <w:b/>
          <w:u w:val="single"/>
        </w:rPr>
        <w:t>) göre</w:t>
      </w:r>
      <w:r w:rsidR="00574C38" w:rsidRPr="00863219">
        <w:t xml:space="preserve"> yüzde </w:t>
      </w:r>
      <w:r w:rsidR="00863219" w:rsidRPr="00863219">
        <w:t>2,1</w:t>
      </w:r>
      <w:r w:rsidR="00E7657B" w:rsidRPr="00863219">
        <w:t xml:space="preserve"> </w:t>
      </w:r>
      <w:r w:rsidR="0036425F" w:rsidRPr="00863219">
        <w:t>artış</w:t>
      </w:r>
      <w:r w:rsidR="006A4591" w:rsidRPr="00863219">
        <w:t xml:space="preserve"> </w:t>
      </w:r>
      <w:r w:rsidR="00370B3E" w:rsidRPr="00863219">
        <w:t>göst</w:t>
      </w:r>
      <w:r w:rsidR="004B6888" w:rsidRPr="00863219">
        <w:t>ermiştir</w:t>
      </w:r>
      <w:r w:rsidR="00574C38" w:rsidRPr="00863219">
        <w:t xml:space="preserve">. </w:t>
      </w:r>
      <w:r w:rsidR="00863219" w:rsidRPr="00863219">
        <w:t>Mart</w:t>
      </w:r>
      <w:r w:rsidR="00A703C9" w:rsidRPr="00863219">
        <w:t xml:space="preserve"> </w:t>
      </w:r>
      <w:r w:rsidR="00FF1E7D" w:rsidRPr="00863219">
        <w:t>(2019</w:t>
      </w:r>
      <w:r w:rsidR="00574C38" w:rsidRPr="00863219">
        <w:t>) ayında</w:t>
      </w:r>
      <w:r w:rsidR="007E6746" w:rsidRPr="00863219">
        <w:t xml:space="preserve">ki </w:t>
      </w:r>
      <w:r w:rsidR="00FF1E7D" w:rsidRPr="00863219">
        <w:t>artı</w:t>
      </w:r>
      <w:r w:rsidR="00DC7A17" w:rsidRPr="00863219">
        <w:t>ş</w:t>
      </w:r>
      <w:r w:rsidR="005D282B" w:rsidRPr="00863219">
        <w:t>ta</w:t>
      </w:r>
      <w:r w:rsidR="00DB1F8E" w:rsidRPr="00863219">
        <w:t xml:space="preserve"> </w:t>
      </w:r>
      <w:r w:rsidR="007E6746" w:rsidRPr="00863219">
        <w:t xml:space="preserve">bir önceki </w:t>
      </w:r>
      <w:r w:rsidR="0092656D" w:rsidRPr="00863219">
        <w:t>aya göre</w:t>
      </w:r>
      <w:r w:rsidR="00DB1F8E" w:rsidRPr="00863219">
        <w:t xml:space="preserve"> </w:t>
      </w:r>
      <w:r w:rsidR="00863219" w:rsidRPr="00863219">
        <w:t>madencilik ve taşocakçılığı sektöründeki yüzde 4,1’li</w:t>
      </w:r>
      <w:r w:rsidR="00E37D6E" w:rsidRPr="00863219">
        <w:t>k</w:t>
      </w:r>
      <w:r w:rsidR="00863219" w:rsidRPr="00863219">
        <w:t xml:space="preserve"> ve</w:t>
      </w:r>
      <w:r w:rsidR="00FF1E7D" w:rsidRPr="00863219">
        <w:t xml:space="preserve"> </w:t>
      </w:r>
      <w:r w:rsidR="00863219" w:rsidRPr="00863219">
        <w:t>imalat sanayi sektöründeki yüzde 2,2’lik artış etkili olmuştur. Elektrik, gaz, buhar ve iklimlendirme üretimi ve dağıtımı sektöründe ise bir önceki aya göre yüzde</w:t>
      </w:r>
      <w:r w:rsidR="00F9779F">
        <w:t xml:space="preserve"> </w:t>
      </w:r>
      <w:r w:rsidR="00863219" w:rsidRPr="00863219">
        <w:t>0,6’lık azalış yaşanmıştır.</w:t>
      </w:r>
    </w:p>
    <w:p w:rsidR="007B58E6" w:rsidRPr="00863219" w:rsidRDefault="00C04441" w:rsidP="007B58E6">
      <w:pPr>
        <w:jc w:val="both"/>
      </w:pPr>
      <w:r w:rsidRPr="00863219">
        <w:t>Ana sanayi gruplarına</w:t>
      </w:r>
      <w:r w:rsidR="007B58E6" w:rsidRPr="00863219">
        <w:t xml:space="preserve"> bakıldığında </w:t>
      </w:r>
      <w:r w:rsidR="0003703C" w:rsidRPr="00863219">
        <w:t>toplam sanayi endeksindeki</w:t>
      </w:r>
      <w:r w:rsidR="00475829" w:rsidRPr="00863219">
        <w:t xml:space="preserve"> </w:t>
      </w:r>
      <w:r w:rsidR="00263D6B" w:rsidRPr="00863219">
        <w:t>a</w:t>
      </w:r>
      <w:r w:rsidR="00FF1E7D" w:rsidRPr="00863219">
        <w:t>rtışta</w:t>
      </w:r>
      <w:r w:rsidR="009E2652" w:rsidRPr="00863219">
        <w:t xml:space="preserve"> </w:t>
      </w:r>
      <w:r w:rsidR="00863219" w:rsidRPr="00863219">
        <w:t xml:space="preserve">sermaye malı, ara malı, </w:t>
      </w:r>
      <w:r w:rsidR="00FF1E7D" w:rsidRPr="00863219">
        <w:t xml:space="preserve">dayanıklı tüketim </w:t>
      </w:r>
      <w:r w:rsidR="00863219" w:rsidRPr="00863219">
        <w:t xml:space="preserve">malı ve dayanıksız tüketim malı </w:t>
      </w:r>
      <w:r w:rsidR="00C1615C" w:rsidRPr="00863219">
        <w:t>sektörlerin</w:t>
      </w:r>
      <w:r w:rsidR="00482E70" w:rsidRPr="00863219">
        <w:t>de</w:t>
      </w:r>
      <w:r w:rsidR="00F27E6F" w:rsidRPr="00863219">
        <w:t xml:space="preserve"> </w:t>
      </w:r>
      <w:r w:rsidR="00736EAB" w:rsidRPr="00863219">
        <w:t xml:space="preserve">yaşanan </w:t>
      </w:r>
      <w:r w:rsidR="00263D6B" w:rsidRPr="00863219">
        <w:t>a</w:t>
      </w:r>
      <w:r w:rsidR="00C1615C" w:rsidRPr="00863219">
        <w:t xml:space="preserve">rtışın </w:t>
      </w:r>
      <w:r w:rsidR="007B58E6" w:rsidRPr="00863219">
        <w:t>etkisi oldu</w:t>
      </w:r>
      <w:r w:rsidR="00FD0F6A" w:rsidRPr="00863219">
        <w:t>ğu görülmektedir</w:t>
      </w:r>
      <w:r w:rsidR="00521423" w:rsidRPr="00863219">
        <w:t xml:space="preserve"> (</w:t>
      </w:r>
      <w:r w:rsidR="00C1615C" w:rsidRPr="00863219">
        <w:t xml:space="preserve">sırasıyla yüzde </w:t>
      </w:r>
      <w:r w:rsidR="00863219" w:rsidRPr="00863219">
        <w:t xml:space="preserve">3,4’lük, </w:t>
      </w:r>
      <w:r w:rsidR="00C1615C" w:rsidRPr="00863219">
        <w:t>2,7</w:t>
      </w:r>
      <w:r w:rsidR="00FF1E7D" w:rsidRPr="00863219">
        <w:t>’li</w:t>
      </w:r>
      <w:r w:rsidR="00A703C9" w:rsidRPr="00863219">
        <w:t>k</w:t>
      </w:r>
      <w:r w:rsidR="000F2907" w:rsidRPr="00863219">
        <w:t xml:space="preserve">, </w:t>
      </w:r>
      <w:r w:rsidR="00863219" w:rsidRPr="00863219">
        <w:t>1,6’lık ve</w:t>
      </w:r>
      <w:r w:rsidR="00F9779F">
        <w:t xml:space="preserve"> </w:t>
      </w:r>
      <w:r w:rsidR="00FF1E7D" w:rsidRPr="00863219">
        <w:t>1,4’lü</w:t>
      </w:r>
      <w:r w:rsidR="00596375" w:rsidRPr="00863219">
        <w:t>k</w:t>
      </w:r>
      <w:r w:rsidR="00C1615C" w:rsidRPr="00863219">
        <w:t xml:space="preserve"> </w:t>
      </w:r>
      <w:r w:rsidR="00FF1E7D" w:rsidRPr="00863219">
        <w:t>artı</w:t>
      </w:r>
      <w:r w:rsidR="00475829" w:rsidRPr="00863219">
        <w:t>ş</w:t>
      </w:r>
      <w:r w:rsidR="00F27E6F" w:rsidRPr="00863219">
        <w:t>lar</w:t>
      </w:r>
      <w:r w:rsidR="0003703C" w:rsidRPr="00863219">
        <w:t>)</w:t>
      </w:r>
      <w:r w:rsidR="007B58E6" w:rsidRPr="00863219">
        <w:t>.</w:t>
      </w:r>
    </w:p>
    <w:p w:rsidR="004B6888" w:rsidRDefault="00F27E6F" w:rsidP="00160C8F">
      <w:pPr>
        <w:jc w:val="both"/>
      </w:pPr>
      <w:r w:rsidRPr="00CD5B4A">
        <w:t>Teknoloji sınıflarına bakıldığında bir önceki aya göre</w:t>
      </w:r>
      <w:r w:rsidR="004C2C40" w:rsidRPr="00CD5B4A">
        <w:t xml:space="preserve"> </w:t>
      </w:r>
      <w:r w:rsidR="00E71B03" w:rsidRPr="00CD5B4A">
        <w:t xml:space="preserve">orta </w:t>
      </w:r>
      <w:r w:rsidR="00C1615C" w:rsidRPr="00CD5B4A">
        <w:t>yüksek</w:t>
      </w:r>
      <w:r w:rsidR="00E67764" w:rsidRPr="00CD5B4A">
        <w:t xml:space="preserve"> teknolojili üretimde </w:t>
      </w:r>
      <w:r w:rsidR="00263D6B" w:rsidRPr="00CD5B4A">
        <w:t xml:space="preserve">yüzde </w:t>
      </w:r>
      <w:r w:rsidR="00E71B03" w:rsidRPr="00CD5B4A">
        <w:t>4,2’li</w:t>
      </w:r>
      <w:r w:rsidR="00817D11" w:rsidRPr="00CD5B4A">
        <w:t xml:space="preserve">k, </w:t>
      </w:r>
      <w:r w:rsidR="004C2C40" w:rsidRPr="00CD5B4A">
        <w:t xml:space="preserve">düşük teknolojili üretimde yüzde </w:t>
      </w:r>
      <w:r w:rsidR="00E71B03" w:rsidRPr="00CD5B4A">
        <w:t>2,2</w:t>
      </w:r>
      <w:r w:rsidR="00C1615C" w:rsidRPr="00CD5B4A">
        <w:t>’li</w:t>
      </w:r>
      <w:r w:rsidR="00817D11" w:rsidRPr="00CD5B4A">
        <w:t xml:space="preserve">k ve </w:t>
      </w:r>
      <w:r w:rsidR="00E71B03" w:rsidRPr="00CD5B4A">
        <w:t xml:space="preserve">orta </w:t>
      </w:r>
      <w:r w:rsidR="00C1615C" w:rsidRPr="00CD5B4A">
        <w:t>düşük</w:t>
      </w:r>
      <w:r w:rsidR="00FF1E7D" w:rsidRPr="00CD5B4A">
        <w:t xml:space="preserve"> tekn</w:t>
      </w:r>
      <w:r w:rsidR="00E71B03" w:rsidRPr="00CD5B4A">
        <w:t>olojili üretimde yüzde 1,5’li</w:t>
      </w:r>
      <w:r w:rsidR="00817D11" w:rsidRPr="00CD5B4A">
        <w:t>k</w:t>
      </w:r>
      <w:r w:rsidR="00BA29CF" w:rsidRPr="00CD5B4A">
        <w:t xml:space="preserve"> </w:t>
      </w:r>
      <w:r w:rsidR="00FF1E7D" w:rsidRPr="00CD5B4A">
        <w:t>art</w:t>
      </w:r>
      <w:r w:rsidR="00817D11" w:rsidRPr="00CD5B4A">
        <w:t>ış</w:t>
      </w:r>
      <w:r w:rsidR="00BA29CF" w:rsidRPr="00CD5B4A">
        <w:t xml:space="preserve"> olduğu görülmektedir.</w:t>
      </w:r>
      <w:r w:rsidR="00A22DF8" w:rsidRPr="00CD5B4A">
        <w:t xml:space="preserve"> </w:t>
      </w:r>
      <w:r w:rsidR="00CD5B4A" w:rsidRPr="00CD5B4A">
        <w:t>Y</w:t>
      </w:r>
      <w:r w:rsidR="00BA29CF" w:rsidRPr="00CD5B4A">
        <w:t>ükse</w:t>
      </w:r>
      <w:r w:rsidR="008919E1" w:rsidRPr="00CD5B4A">
        <w:t>k</w:t>
      </w:r>
      <w:r w:rsidR="001A10CB" w:rsidRPr="00CD5B4A">
        <w:t xml:space="preserve"> </w:t>
      </w:r>
      <w:r w:rsidRPr="00CD5B4A">
        <w:t>teknoloji</w:t>
      </w:r>
      <w:r w:rsidR="005B7F6F" w:rsidRPr="00CD5B4A">
        <w:t>li</w:t>
      </w:r>
      <w:r w:rsidRPr="00CD5B4A">
        <w:t xml:space="preserve"> üretimde</w:t>
      </w:r>
      <w:r w:rsidR="00E67764" w:rsidRPr="00CD5B4A">
        <w:t xml:space="preserve"> </w:t>
      </w:r>
      <w:r w:rsidR="00FF1E7D" w:rsidRPr="00CD5B4A">
        <w:t xml:space="preserve">ise </w:t>
      </w:r>
      <w:r w:rsidR="008E7A90" w:rsidRPr="00CD5B4A">
        <w:t xml:space="preserve">yüzde </w:t>
      </w:r>
      <w:r w:rsidR="00CD5B4A" w:rsidRPr="00CD5B4A">
        <w:t>1,8</w:t>
      </w:r>
      <w:r w:rsidR="00FF1E7D" w:rsidRPr="00CD5B4A">
        <w:t>’li</w:t>
      </w:r>
      <w:r w:rsidRPr="00CD5B4A">
        <w:t>k</w:t>
      </w:r>
      <w:r w:rsidR="004C2C40" w:rsidRPr="00CD5B4A">
        <w:t xml:space="preserve"> </w:t>
      </w:r>
      <w:r w:rsidR="00FF1E7D" w:rsidRPr="00CD5B4A">
        <w:t>azal</w:t>
      </w:r>
      <w:r w:rsidR="00817D11" w:rsidRPr="00CD5B4A">
        <w:t>ış</w:t>
      </w:r>
      <w:r w:rsidR="008E7A90" w:rsidRPr="00CD5B4A">
        <w:t xml:space="preserve"> </w:t>
      </w:r>
      <w:r w:rsidR="001A10CB" w:rsidRPr="00CD5B4A">
        <w:t>yaşanmıştır.</w:t>
      </w:r>
      <w:r w:rsidR="00E67764">
        <w:t xml:space="preserve"> </w:t>
      </w:r>
      <w:r>
        <w:t xml:space="preserve"> </w:t>
      </w: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C6262" w:rsidRDefault="009C6262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6A458B">
        <w:rPr>
          <w:rFonts w:eastAsia="Times New Roman" w:cs="Times New Roman"/>
          <w:b/>
          <w:bCs/>
          <w:kern w:val="36"/>
          <w:sz w:val="24"/>
          <w:szCs w:val="24"/>
        </w:rPr>
        <w:t>Yıllara göre Mart</w:t>
      </w:r>
      <w:r w:rsidR="00D16216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ayları itibariyle sanayi üretim endeksi </w:t>
      </w:r>
    </w:p>
    <w:p w:rsidR="00737710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4C3440" w:rsidRPr="004D5C8C" w:rsidRDefault="006A458B" w:rsidP="004C344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2D666A98" wp14:editId="4D436ECE">
            <wp:extent cx="5972810" cy="2578735"/>
            <wp:effectExtent l="0" t="0" r="27940" b="1206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1E1" w:rsidRPr="002E2B83" w:rsidRDefault="00160C8F" w:rsidP="00160C8F">
      <w:pPr>
        <w:jc w:val="both"/>
      </w:pPr>
      <w:r w:rsidRPr="002E2B83">
        <w:t xml:space="preserve">Endeks </w:t>
      </w:r>
      <w:r w:rsidRPr="002E2B83">
        <w:rPr>
          <w:b/>
          <w:u w:val="single"/>
        </w:rPr>
        <w:t>bir önceki yılın aynı ayına göre</w:t>
      </w:r>
      <w:r w:rsidRPr="002E2B83">
        <w:t xml:space="preserve"> yüzde </w:t>
      </w:r>
      <w:r w:rsidR="002E2B83" w:rsidRPr="002E2B83">
        <w:t>2,2</w:t>
      </w:r>
      <w:r w:rsidR="008A62B9" w:rsidRPr="002E2B83">
        <w:t xml:space="preserve"> </w:t>
      </w:r>
      <w:r w:rsidRPr="002E2B83">
        <w:t xml:space="preserve">oranında </w:t>
      </w:r>
      <w:r w:rsidR="001476B3" w:rsidRPr="002E2B83">
        <w:t>azalış</w:t>
      </w:r>
      <w:r w:rsidR="00756492" w:rsidRPr="002E2B83">
        <w:t xml:space="preserve"> </w:t>
      </w:r>
      <w:r w:rsidRPr="002E2B83">
        <w:t xml:space="preserve">göstermiştir. </w:t>
      </w:r>
      <w:r w:rsidR="002E2B83" w:rsidRPr="002E2B83">
        <w:t>Mart</w:t>
      </w:r>
      <w:r w:rsidR="00B54505" w:rsidRPr="002E2B83">
        <w:t>(2019</w:t>
      </w:r>
      <w:r w:rsidRPr="002E2B83">
        <w:t xml:space="preserve">) ayında önceki yıla göre ana sanayi </w:t>
      </w:r>
      <w:r w:rsidR="00C04441" w:rsidRPr="002E2B83">
        <w:t>sektörleri</w:t>
      </w:r>
      <w:r w:rsidR="001476B3" w:rsidRPr="002E2B83">
        <w:t xml:space="preserve"> itibariyle en yüksek azalış</w:t>
      </w:r>
      <w:r w:rsidRPr="002E2B83">
        <w:t xml:space="preserve"> </w:t>
      </w:r>
      <w:r w:rsidR="002E2B83" w:rsidRPr="002E2B83">
        <w:t>yüzde 2,6</w:t>
      </w:r>
      <w:r w:rsidR="001476B3" w:rsidRPr="002E2B83">
        <w:t xml:space="preserve"> </w:t>
      </w:r>
      <w:r w:rsidR="005A54BA" w:rsidRPr="002E2B83">
        <w:t>ile</w:t>
      </w:r>
      <w:r w:rsidR="001476B3" w:rsidRPr="002E2B83">
        <w:t xml:space="preserve"> imala</w:t>
      </w:r>
      <w:r w:rsidR="0090264F" w:rsidRPr="002E2B83">
        <w:t>t sanayi sektöründe gerçekleşmiştir.</w:t>
      </w:r>
      <w:r w:rsidR="005A54BA" w:rsidRPr="002E2B83">
        <w:t xml:space="preserve"> </w:t>
      </w:r>
      <w:r w:rsidR="002D4D88" w:rsidRPr="002E2B83">
        <w:t>B</w:t>
      </w:r>
      <w:r w:rsidR="00DA15C9" w:rsidRPr="002E2B83">
        <w:t xml:space="preserve">u sektörü, </w:t>
      </w:r>
      <w:r w:rsidR="00B54505" w:rsidRPr="002E2B83">
        <w:t xml:space="preserve">yüzde </w:t>
      </w:r>
      <w:r w:rsidR="002E2B83" w:rsidRPr="002E2B83">
        <w:t>0,7</w:t>
      </w:r>
      <w:r w:rsidR="001476B3" w:rsidRPr="002E2B83">
        <w:t xml:space="preserve"> azalış</w:t>
      </w:r>
      <w:r w:rsidR="00DA15C9" w:rsidRPr="002E2B83">
        <w:t xml:space="preserve">la </w:t>
      </w:r>
      <w:r w:rsidR="002E2B83" w:rsidRPr="002E2B83">
        <w:t xml:space="preserve">elektrik, gaz, buhar ve iklimlendirme üretimi ve dağıtımı </w:t>
      </w:r>
      <w:r w:rsidR="00321446" w:rsidRPr="002E2B83">
        <w:t>sektörü</w:t>
      </w:r>
      <w:r w:rsidR="001476B3" w:rsidRPr="002E2B83">
        <w:t xml:space="preserve"> </w:t>
      </w:r>
      <w:r w:rsidR="00FF11E1" w:rsidRPr="002E2B83">
        <w:t xml:space="preserve">takip etmiştir.  </w:t>
      </w:r>
      <w:r w:rsidR="002E2B83" w:rsidRPr="002E2B83">
        <w:t>Madencilik ve taşocakçılığı sektöründe ise yüzde 2,2</w:t>
      </w:r>
      <w:r w:rsidR="00321446" w:rsidRPr="002E2B83">
        <w:t xml:space="preserve"> artış gözlenmiştir.</w:t>
      </w:r>
    </w:p>
    <w:p w:rsidR="00153CD8" w:rsidRPr="004E19A4" w:rsidRDefault="00C04441" w:rsidP="00160C8F">
      <w:pPr>
        <w:jc w:val="both"/>
      </w:pPr>
      <w:r w:rsidRPr="004E19A4">
        <w:t>Ana sanayi gruplarına</w:t>
      </w:r>
      <w:r w:rsidR="00160C8F" w:rsidRPr="004E19A4">
        <w:t xml:space="preserve"> bakıldığında</w:t>
      </w:r>
      <w:r w:rsidR="00D72BD4" w:rsidRPr="004E19A4">
        <w:t>,</w:t>
      </w:r>
      <w:r w:rsidRPr="004E19A4">
        <w:t xml:space="preserve"> </w:t>
      </w:r>
      <w:r w:rsidR="004E19A4" w:rsidRPr="004E19A4">
        <w:t xml:space="preserve">ara malı imalatında yüzde 5,6’lık ve </w:t>
      </w:r>
      <w:r w:rsidR="00B54505" w:rsidRPr="004E19A4">
        <w:t>s</w:t>
      </w:r>
      <w:r w:rsidR="004E19A4" w:rsidRPr="004E19A4">
        <w:t>ermaye malı imalatında yüzde 3,2</w:t>
      </w:r>
      <w:r w:rsidR="00B54505" w:rsidRPr="004E19A4">
        <w:t>’li</w:t>
      </w:r>
      <w:r w:rsidR="009A003A" w:rsidRPr="004E19A4">
        <w:t xml:space="preserve">k </w:t>
      </w:r>
      <w:r w:rsidR="00740BAC" w:rsidRPr="004E19A4">
        <w:t>azalı</w:t>
      </w:r>
      <w:r w:rsidR="00153CD8" w:rsidRPr="004E19A4">
        <w:t>ş yaşanmıştır.</w:t>
      </w:r>
      <w:r w:rsidR="003D666D" w:rsidRPr="004E19A4">
        <w:t xml:space="preserve"> </w:t>
      </w:r>
      <w:r w:rsidR="004E19A4" w:rsidRPr="004E19A4">
        <w:t xml:space="preserve">Dayanıklı tüketim malı, enerji ve dayanıksız tüketim malı imalatında ise sırasıyla 5,1, 3,5 ve 0,6’lık artış görülmüştür. </w:t>
      </w:r>
    </w:p>
    <w:p w:rsidR="00737710" w:rsidRPr="004E19A4" w:rsidRDefault="009E5A0A" w:rsidP="00740BAC">
      <w:pPr>
        <w:jc w:val="both"/>
      </w:pPr>
      <w:r w:rsidRPr="004E19A4">
        <w:t xml:space="preserve">Bir önceki yılın aynı ayına göre değişime teknoloji sınıflarına göre bakıldığında </w:t>
      </w:r>
      <w:r w:rsidR="00740BAC" w:rsidRPr="004E19A4">
        <w:t>en yüksek azalışın</w:t>
      </w:r>
      <w:r w:rsidR="00580464" w:rsidRPr="004E19A4">
        <w:t xml:space="preserve"> yüzde </w:t>
      </w:r>
      <w:r w:rsidR="004E19A4" w:rsidRPr="004E19A4">
        <w:t>9’lu</w:t>
      </w:r>
      <w:r w:rsidR="00740BAC" w:rsidRPr="004E19A4">
        <w:t xml:space="preserve">k azalışla orta düşük teknolojili üretimde </w:t>
      </w:r>
      <w:r w:rsidR="008A18D9" w:rsidRPr="004E19A4">
        <w:t xml:space="preserve">olduğu </w:t>
      </w:r>
      <w:r w:rsidR="008111C1" w:rsidRPr="004E19A4">
        <w:t>görülmektedir.</w:t>
      </w:r>
      <w:r w:rsidR="00740BAC" w:rsidRPr="004E19A4">
        <w:t xml:space="preserve"> Orta d</w:t>
      </w:r>
      <w:r w:rsidR="00315182" w:rsidRPr="004E19A4">
        <w:t>üş</w:t>
      </w:r>
      <w:r w:rsidR="004E19A4" w:rsidRPr="004E19A4">
        <w:t>ük teknolojili üretimi yüzde 2,5’li</w:t>
      </w:r>
      <w:r w:rsidR="00740BAC" w:rsidRPr="004E19A4">
        <w:t xml:space="preserve">k azalış ile </w:t>
      </w:r>
      <w:r w:rsidR="00B54505" w:rsidRPr="004E19A4">
        <w:t>orta yüksek</w:t>
      </w:r>
      <w:r w:rsidR="00C919B8" w:rsidRPr="004E19A4">
        <w:t xml:space="preserve"> teknolojili üretim </w:t>
      </w:r>
      <w:r w:rsidR="00740BAC" w:rsidRPr="004E19A4">
        <w:t>takip etmiştir. Yü</w:t>
      </w:r>
      <w:r w:rsidR="00315182" w:rsidRPr="004E19A4">
        <w:t>k</w:t>
      </w:r>
      <w:r w:rsidR="00387778" w:rsidRPr="004E19A4">
        <w:t xml:space="preserve">sek teknolojili üretimde </w:t>
      </w:r>
      <w:r w:rsidR="00B00B37">
        <w:t>yüzde 13,5</w:t>
      </w:r>
      <w:r w:rsidR="00952952" w:rsidRPr="004E19A4">
        <w:t xml:space="preserve">’lik </w:t>
      </w:r>
      <w:r w:rsidR="004E19A4" w:rsidRPr="004E19A4">
        <w:t xml:space="preserve">ve düşük teknolojili üretimde yüzde 0,6’lık </w:t>
      </w:r>
      <w:r w:rsidR="00952952" w:rsidRPr="004E19A4">
        <w:t>artış olmuştur</w:t>
      </w:r>
      <w:r w:rsidR="00740BAC" w:rsidRPr="004E19A4">
        <w:t>.</w:t>
      </w:r>
    </w:p>
    <w:p w:rsidR="00C37F57" w:rsidRPr="006A458B" w:rsidRDefault="00C37F57" w:rsidP="00740BAC">
      <w:pPr>
        <w:jc w:val="both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37710" w:rsidRPr="004C3440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Pr="004C3440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3D666D" w:rsidRDefault="003D666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14374" w:rsidRDefault="0071437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A703C9" w:rsidRPr="00CF56CB" w:rsidRDefault="00A703C9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E20DB4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863219">
              <w:rPr>
                <w:b/>
              </w:rPr>
              <w:t>Mart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863219" w:rsidP="00D42512">
            <w:pPr>
              <w:jc w:val="center"/>
            </w:pPr>
            <w:r>
              <w:t>2,7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863219" w:rsidP="00D42512">
            <w:pPr>
              <w:jc w:val="center"/>
            </w:pPr>
            <w:r>
              <w:t>-5,6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1,6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863219" w:rsidP="00D42512">
            <w:pPr>
              <w:jc w:val="center"/>
            </w:pPr>
            <w:r>
              <w:t>5,1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1,4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6005B3" w:rsidP="00727EB2">
            <w:r>
              <w:t xml:space="preserve">               </w:t>
            </w:r>
            <w:r w:rsidR="00863219">
              <w:t>0,6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863219" w:rsidP="00D42512">
            <w:pPr>
              <w:jc w:val="center"/>
            </w:pPr>
            <w:r>
              <w:t>-0,6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863219" w:rsidP="001727DA">
            <w:pPr>
              <w:jc w:val="center"/>
            </w:pPr>
            <w:r>
              <w:t>3</w:t>
            </w:r>
            <w:r w:rsidR="00727EB2">
              <w:t>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863219" w:rsidP="00D42512">
            <w:pPr>
              <w:jc w:val="center"/>
            </w:pPr>
            <w:r>
              <w:t>3,4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863219" w:rsidP="00D42512">
            <w:pPr>
              <w:jc w:val="center"/>
            </w:pPr>
            <w:r>
              <w:t>-3,2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863219" w:rsidP="00D42512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863219" w:rsidP="00D42512">
            <w:pPr>
              <w:jc w:val="center"/>
              <w:rPr>
                <w:b/>
              </w:rPr>
            </w:pPr>
            <w:r>
              <w:rPr>
                <w:b/>
              </w:rPr>
              <w:t>-2,2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130316">
            <w:pPr>
              <w:jc w:val="both"/>
            </w:pPr>
            <w:r>
              <w:rPr>
                <w:b/>
              </w:rPr>
              <w:t xml:space="preserve">Tablo 2: Sanayi Üretim Endeksi </w:t>
            </w:r>
            <w:r w:rsidR="00160C8F" w:rsidRPr="004D5C8C">
              <w:rPr>
                <w:b/>
              </w:rPr>
              <w:t xml:space="preserve">Sektörel Büyüme Oranları, </w:t>
            </w:r>
            <w:r w:rsidR="00863219">
              <w:rPr>
                <w:b/>
              </w:rPr>
              <w:t>Mart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863219" w:rsidP="00D42512">
            <w:pPr>
              <w:jc w:val="center"/>
            </w:pPr>
            <w:r>
              <w:t>4,1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863219" w:rsidP="00D42512">
            <w:pPr>
              <w:jc w:val="center"/>
            </w:pPr>
            <w:r>
              <w:t>2,2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863219" w:rsidP="00D42512">
            <w:pPr>
              <w:jc w:val="center"/>
            </w:pPr>
            <w:r>
              <w:t>2,2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863219" w:rsidP="00D42512">
            <w:pPr>
              <w:jc w:val="center"/>
            </w:pPr>
            <w:r>
              <w:t>-2,6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863219" w:rsidP="00D42512">
            <w:pPr>
              <w:jc w:val="center"/>
            </w:pPr>
            <w:r>
              <w:t>-0,6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863219" w:rsidP="00D42512">
            <w:pPr>
              <w:jc w:val="center"/>
            </w:pPr>
            <w:r>
              <w:t>-0,7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863219" w:rsidP="00D42512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863219" w:rsidP="00D42512">
            <w:pPr>
              <w:jc w:val="center"/>
              <w:rPr>
                <w:b/>
              </w:rPr>
            </w:pPr>
            <w:r>
              <w:rPr>
                <w:b/>
              </w:rPr>
              <w:t>-2,2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D16216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</w:t>
            </w:r>
            <w:r w:rsidR="002F6288">
              <w:rPr>
                <w:b/>
              </w:rPr>
              <w:t>nıfla</w:t>
            </w:r>
            <w:r w:rsidR="00683347">
              <w:rPr>
                <w:b/>
              </w:rPr>
              <w:t xml:space="preserve">rına Göre Büyüme Oranları, </w:t>
            </w:r>
            <w:r w:rsidR="00863219">
              <w:rPr>
                <w:b/>
              </w:rPr>
              <w:t>Mart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863219" w:rsidP="00D42512">
            <w:pPr>
              <w:jc w:val="center"/>
            </w:pPr>
            <w:r>
              <w:t>2,2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863219" w:rsidP="00D42512">
            <w:pPr>
              <w:jc w:val="center"/>
            </w:pPr>
            <w:r>
              <w:t>0,6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863219" w:rsidP="00D42512">
            <w:pPr>
              <w:jc w:val="center"/>
            </w:pPr>
            <w:r>
              <w:t>1,5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863219" w:rsidP="00D42512">
            <w:pPr>
              <w:jc w:val="center"/>
            </w:pPr>
            <w:r>
              <w:t>-9,0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863219" w:rsidP="00D42512">
            <w:pPr>
              <w:jc w:val="center"/>
            </w:pPr>
            <w:r>
              <w:t>4,2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683347" w:rsidP="00130316">
            <w:r>
              <w:t xml:space="preserve">                </w:t>
            </w:r>
            <w:r w:rsidR="00863219">
              <w:t>-2,5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863219" w:rsidP="00D42512">
            <w:pPr>
              <w:jc w:val="center"/>
            </w:pPr>
            <w:r>
              <w:t>-1,8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863219" w:rsidP="00D42512">
            <w:pPr>
              <w:jc w:val="center"/>
            </w:pPr>
            <w:r>
              <w:t>13,5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863219" w:rsidP="00D42512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2067" w:type="dxa"/>
            <w:noWrap/>
            <w:vAlign w:val="center"/>
          </w:tcPr>
          <w:p w:rsidR="00A23FB2" w:rsidRDefault="00863219" w:rsidP="00D42512">
            <w:pPr>
              <w:jc w:val="center"/>
              <w:rPr>
                <w:b/>
              </w:rPr>
            </w:pPr>
            <w:r>
              <w:rPr>
                <w:b/>
              </w:rPr>
              <w:t>-2,2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8D" w:rsidRDefault="0081208D" w:rsidP="00C04441">
      <w:pPr>
        <w:spacing w:after="0" w:line="240" w:lineRule="auto"/>
      </w:pPr>
      <w:r>
        <w:separator/>
      </w:r>
    </w:p>
  </w:endnote>
  <w:endnote w:type="continuationSeparator" w:id="0">
    <w:p w:rsidR="0081208D" w:rsidRDefault="0081208D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166021"/>
      <w:docPartObj>
        <w:docPartGallery w:val="Page Numbers (Bottom of Page)"/>
        <w:docPartUnique/>
      </w:docPartObj>
    </w:sdtPr>
    <w:sdtContent>
      <w:p w:rsidR="00737C22" w:rsidRDefault="00737C2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7C22" w:rsidRDefault="00737C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8D" w:rsidRDefault="0081208D" w:rsidP="00C04441">
      <w:pPr>
        <w:spacing w:after="0" w:line="240" w:lineRule="auto"/>
      </w:pPr>
      <w:r>
        <w:separator/>
      </w:r>
    </w:p>
  </w:footnote>
  <w:footnote w:type="continuationSeparator" w:id="0">
    <w:p w:rsidR="0081208D" w:rsidRDefault="0081208D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74D8"/>
    <w:rsid w:val="00020E22"/>
    <w:rsid w:val="0003703C"/>
    <w:rsid w:val="000449DE"/>
    <w:rsid w:val="00062D7C"/>
    <w:rsid w:val="00067493"/>
    <w:rsid w:val="000701FD"/>
    <w:rsid w:val="00070A53"/>
    <w:rsid w:val="000A2533"/>
    <w:rsid w:val="000B7EA9"/>
    <w:rsid w:val="000D18BE"/>
    <w:rsid w:val="000F2907"/>
    <w:rsid w:val="001037FB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2CE8"/>
    <w:rsid w:val="00153CD8"/>
    <w:rsid w:val="00160C8F"/>
    <w:rsid w:val="0017212E"/>
    <w:rsid w:val="001727DA"/>
    <w:rsid w:val="00176D24"/>
    <w:rsid w:val="0019156C"/>
    <w:rsid w:val="001A10CB"/>
    <w:rsid w:val="001A1146"/>
    <w:rsid w:val="001A1A85"/>
    <w:rsid w:val="001A5BD1"/>
    <w:rsid w:val="001B0F96"/>
    <w:rsid w:val="001C74F4"/>
    <w:rsid w:val="001D08EA"/>
    <w:rsid w:val="001E11A2"/>
    <w:rsid w:val="001E1BF7"/>
    <w:rsid w:val="001E5A63"/>
    <w:rsid w:val="001F7633"/>
    <w:rsid w:val="00201049"/>
    <w:rsid w:val="0021363C"/>
    <w:rsid w:val="002145C8"/>
    <w:rsid w:val="00222211"/>
    <w:rsid w:val="00226AA7"/>
    <w:rsid w:val="00232DD2"/>
    <w:rsid w:val="00233BD5"/>
    <w:rsid w:val="00233F90"/>
    <w:rsid w:val="00246284"/>
    <w:rsid w:val="002466C0"/>
    <w:rsid w:val="002625C7"/>
    <w:rsid w:val="00263D6B"/>
    <w:rsid w:val="00265754"/>
    <w:rsid w:val="0028186A"/>
    <w:rsid w:val="002B2CC6"/>
    <w:rsid w:val="002B53E4"/>
    <w:rsid w:val="002C70D2"/>
    <w:rsid w:val="002D3E19"/>
    <w:rsid w:val="002D4CF4"/>
    <w:rsid w:val="002D4D88"/>
    <w:rsid w:val="002D5594"/>
    <w:rsid w:val="002E2B83"/>
    <w:rsid w:val="002F30C5"/>
    <w:rsid w:val="002F6288"/>
    <w:rsid w:val="00303320"/>
    <w:rsid w:val="00315182"/>
    <w:rsid w:val="00317C4E"/>
    <w:rsid w:val="00321446"/>
    <w:rsid w:val="00321B60"/>
    <w:rsid w:val="00340005"/>
    <w:rsid w:val="00340BEB"/>
    <w:rsid w:val="003455A1"/>
    <w:rsid w:val="00350144"/>
    <w:rsid w:val="00351561"/>
    <w:rsid w:val="00354CE2"/>
    <w:rsid w:val="00356BA7"/>
    <w:rsid w:val="00357954"/>
    <w:rsid w:val="003641B3"/>
    <w:rsid w:val="0036425F"/>
    <w:rsid w:val="00370B3E"/>
    <w:rsid w:val="003733E7"/>
    <w:rsid w:val="00375254"/>
    <w:rsid w:val="00387778"/>
    <w:rsid w:val="00390E27"/>
    <w:rsid w:val="003A5037"/>
    <w:rsid w:val="003A57CB"/>
    <w:rsid w:val="003D2889"/>
    <w:rsid w:val="003D666D"/>
    <w:rsid w:val="003F266E"/>
    <w:rsid w:val="003F2715"/>
    <w:rsid w:val="00401D53"/>
    <w:rsid w:val="00407EC9"/>
    <w:rsid w:val="00424CC0"/>
    <w:rsid w:val="00431AD9"/>
    <w:rsid w:val="00432DF5"/>
    <w:rsid w:val="0043515F"/>
    <w:rsid w:val="00453015"/>
    <w:rsid w:val="00460688"/>
    <w:rsid w:val="00463872"/>
    <w:rsid w:val="004641F9"/>
    <w:rsid w:val="00475829"/>
    <w:rsid w:val="00482E70"/>
    <w:rsid w:val="00492DFF"/>
    <w:rsid w:val="004B6888"/>
    <w:rsid w:val="004C2C40"/>
    <w:rsid w:val="004C3440"/>
    <w:rsid w:val="004C54EA"/>
    <w:rsid w:val="004D5C8C"/>
    <w:rsid w:val="004E19A4"/>
    <w:rsid w:val="00517288"/>
    <w:rsid w:val="00521423"/>
    <w:rsid w:val="00522A6C"/>
    <w:rsid w:val="005405F5"/>
    <w:rsid w:val="00544D61"/>
    <w:rsid w:val="005531C8"/>
    <w:rsid w:val="00561558"/>
    <w:rsid w:val="00565DB5"/>
    <w:rsid w:val="00574C38"/>
    <w:rsid w:val="0057513F"/>
    <w:rsid w:val="005758F2"/>
    <w:rsid w:val="0057797A"/>
    <w:rsid w:val="00580464"/>
    <w:rsid w:val="00583547"/>
    <w:rsid w:val="0059020E"/>
    <w:rsid w:val="00593476"/>
    <w:rsid w:val="00594446"/>
    <w:rsid w:val="00596375"/>
    <w:rsid w:val="005A54BA"/>
    <w:rsid w:val="005B282C"/>
    <w:rsid w:val="005B2B26"/>
    <w:rsid w:val="005B7556"/>
    <w:rsid w:val="005B7F6F"/>
    <w:rsid w:val="005C53F8"/>
    <w:rsid w:val="005D282B"/>
    <w:rsid w:val="006005B3"/>
    <w:rsid w:val="006020BD"/>
    <w:rsid w:val="00604091"/>
    <w:rsid w:val="00605830"/>
    <w:rsid w:val="00625E9B"/>
    <w:rsid w:val="00640824"/>
    <w:rsid w:val="00643409"/>
    <w:rsid w:val="00655F1B"/>
    <w:rsid w:val="006760A0"/>
    <w:rsid w:val="00677B0D"/>
    <w:rsid w:val="00683347"/>
    <w:rsid w:val="00685E8C"/>
    <w:rsid w:val="006A23C6"/>
    <w:rsid w:val="006A458B"/>
    <w:rsid w:val="006A4591"/>
    <w:rsid w:val="006B2306"/>
    <w:rsid w:val="006B6AEA"/>
    <w:rsid w:val="006D41B5"/>
    <w:rsid w:val="006E318F"/>
    <w:rsid w:val="006E77D7"/>
    <w:rsid w:val="006F0E9D"/>
    <w:rsid w:val="0070186C"/>
    <w:rsid w:val="00714374"/>
    <w:rsid w:val="00716E35"/>
    <w:rsid w:val="00727EB2"/>
    <w:rsid w:val="00731B2B"/>
    <w:rsid w:val="007323C8"/>
    <w:rsid w:val="007330A1"/>
    <w:rsid w:val="00736EAB"/>
    <w:rsid w:val="00737710"/>
    <w:rsid w:val="00737C22"/>
    <w:rsid w:val="00740BAC"/>
    <w:rsid w:val="007441EB"/>
    <w:rsid w:val="00744706"/>
    <w:rsid w:val="00756492"/>
    <w:rsid w:val="00770090"/>
    <w:rsid w:val="007700BF"/>
    <w:rsid w:val="007736BE"/>
    <w:rsid w:val="00781C4C"/>
    <w:rsid w:val="007A659A"/>
    <w:rsid w:val="007A6AB2"/>
    <w:rsid w:val="007B58E6"/>
    <w:rsid w:val="007B7A94"/>
    <w:rsid w:val="007C02FB"/>
    <w:rsid w:val="007C5CE3"/>
    <w:rsid w:val="007E5800"/>
    <w:rsid w:val="007E6746"/>
    <w:rsid w:val="007F7AF1"/>
    <w:rsid w:val="00801E07"/>
    <w:rsid w:val="00802F1A"/>
    <w:rsid w:val="008111C1"/>
    <w:rsid w:val="0081208D"/>
    <w:rsid w:val="00817D11"/>
    <w:rsid w:val="00836230"/>
    <w:rsid w:val="00863219"/>
    <w:rsid w:val="008919E1"/>
    <w:rsid w:val="008A18D9"/>
    <w:rsid w:val="008A575D"/>
    <w:rsid w:val="008A62B9"/>
    <w:rsid w:val="008A7788"/>
    <w:rsid w:val="008C2C15"/>
    <w:rsid w:val="008C7F9E"/>
    <w:rsid w:val="008D1077"/>
    <w:rsid w:val="008D6E31"/>
    <w:rsid w:val="008E7A90"/>
    <w:rsid w:val="0090264F"/>
    <w:rsid w:val="0090458B"/>
    <w:rsid w:val="00907E0D"/>
    <w:rsid w:val="00923FD3"/>
    <w:rsid w:val="0092656D"/>
    <w:rsid w:val="00930478"/>
    <w:rsid w:val="009319B5"/>
    <w:rsid w:val="00932909"/>
    <w:rsid w:val="00935B34"/>
    <w:rsid w:val="009367FC"/>
    <w:rsid w:val="009373A8"/>
    <w:rsid w:val="00952952"/>
    <w:rsid w:val="00983006"/>
    <w:rsid w:val="009858B1"/>
    <w:rsid w:val="009A003A"/>
    <w:rsid w:val="009A055C"/>
    <w:rsid w:val="009A6E86"/>
    <w:rsid w:val="009B13DC"/>
    <w:rsid w:val="009B404C"/>
    <w:rsid w:val="009C6262"/>
    <w:rsid w:val="009C6424"/>
    <w:rsid w:val="009D3086"/>
    <w:rsid w:val="009E2652"/>
    <w:rsid w:val="009E5A0A"/>
    <w:rsid w:val="009E756B"/>
    <w:rsid w:val="009F0A83"/>
    <w:rsid w:val="009F54F1"/>
    <w:rsid w:val="00A0036E"/>
    <w:rsid w:val="00A05007"/>
    <w:rsid w:val="00A06802"/>
    <w:rsid w:val="00A22DF8"/>
    <w:rsid w:val="00A23FB2"/>
    <w:rsid w:val="00A469AB"/>
    <w:rsid w:val="00A50B41"/>
    <w:rsid w:val="00A54DF2"/>
    <w:rsid w:val="00A64065"/>
    <w:rsid w:val="00A703C9"/>
    <w:rsid w:val="00A704B3"/>
    <w:rsid w:val="00A705F6"/>
    <w:rsid w:val="00A722F2"/>
    <w:rsid w:val="00A77365"/>
    <w:rsid w:val="00A83FD3"/>
    <w:rsid w:val="00AB519D"/>
    <w:rsid w:val="00AB7627"/>
    <w:rsid w:val="00AC3550"/>
    <w:rsid w:val="00AD2065"/>
    <w:rsid w:val="00B00B37"/>
    <w:rsid w:val="00B0776B"/>
    <w:rsid w:val="00B2786A"/>
    <w:rsid w:val="00B33F14"/>
    <w:rsid w:val="00B404F2"/>
    <w:rsid w:val="00B4315C"/>
    <w:rsid w:val="00B54505"/>
    <w:rsid w:val="00B55EB8"/>
    <w:rsid w:val="00B65F3F"/>
    <w:rsid w:val="00B74AF8"/>
    <w:rsid w:val="00B84FE9"/>
    <w:rsid w:val="00B86368"/>
    <w:rsid w:val="00B8689F"/>
    <w:rsid w:val="00B94EA9"/>
    <w:rsid w:val="00B96B22"/>
    <w:rsid w:val="00BA000A"/>
    <w:rsid w:val="00BA1F9C"/>
    <w:rsid w:val="00BA29CF"/>
    <w:rsid w:val="00BB1094"/>
    <w:rsid w:val="00BC294E"/>
    <w:rsid w:val="00BC32E0"/>
    <w:rsid w:val="00BC5F10"/>
    <w:rsid w:val="00BE3F29"/>
    <w:rsid w:val="00BF1C98"/>
    <w:rsid w:val="00BF4755"/>
    <w:rsid w:val="00C04441"/>
    <w:rsid w:val="00C144CC"/>
    <w:rsid w:val="00C1615C"/>
    <w:rsid w:val="00C21D8B"/>
    <w:rsid w:val="00C37F57"/>
    <w:rsid w:val="00C55489"/>
    <w:rsid w:val="00C73ED9"/>
    <w:rsid w:val="00C75496"/>
    <w:rsid w:val="00C919B8"/>
    <w:rsid w:val="00C97AFA"/>
    <w:rsid w:val="00CA02F3"/>
    <w:rsid w:val="00CC7D5F"/>
    <w:rsid w:val="00CD5B4A"/>
    <w:rsid w:val="00CE1205"/>
    <w:rsid w:val="00CE4BAC"/>
    <w:rsid w:val="00CE5E9C"/>
    <w:rsid w:val="00CF56CB"/>
    <w:rsid w:val="00D0085D"/>
    <w:rsid w:val="00D017B9"/>
    <w:rsid w:val="00D16216"/>
    <w:rsid w:val="00D21190"/>
    <w:rsid w:val="00D2299D"/>
    <w:rsid w:val="00D23355"/>
    <w:rsid w:val="00D26126"/>
    <w:rsid w:val="00D26ADA"/>
    <w:rsid w:val="00D35BE1"/>
    <w:rsid w:val="00D42512"/>
    <w:rsid w:val="00D559DA"/>
    <w:rsid w:val="00D60CCE"/>
    <w:rsid w:val="00D72BD4"/>
    <w:rsid w:val="00D930AD"/>
    <w:rsid w:val="00DA15C9"/>
    <w:rsid w:val="00DB1389"/>
    <w:rsid w:val="00DB1F8E"/>
    <w:rsid w:val="00DC5FDC"/>
    <w:rsid w:val="00DC7A17"/>
    <w:rsid w:val="00DE7934"/>
    <w:rsid w:val="00E1280A"/>
    <w:rsid w:val="00E137FD"/>
    <w:rsid w:val="00E20DB4"/>
    <w:rsid w:val="00E33EB8"/>
    <w:rsid w:val="00E37D6E"/>
    <w:rsid w:val="00E46DD4"/>
    <w:rsid w:val="00E67764"/>
    <w:rsid w:val="00E71B03"/>
    <w:rsid w:val="00E7657B"/>
    <w:rsid w:val="00EB0949"/>
    <w:rsid w:val="00EC4AA2"/>
    <w:rsid w:val="00EC72C1"/>
    <w:rsid w:val="00ED4544"/>
    <w:rsid w:val="00ED46EA"/>
    <w:rsid w:val="00EE0B38"/>
    <w:rsid w:val="00EE2F80"/>
    <w:rsid w:val="00EE4F69"/>
    <w:rsid w:val="00EE565C"/>
    <w:rsid w:val="00EE5ABD"/>
    <w:rsid w:val="00EF4E45"/>
    <w:rsid w:val="00EF621F"/>
    <w:rsid w:val="00F061D6"/>
    <w:rsid w:val="00F111FE"/>
    <w:rsid w:val="00F27E6F"/>
    <w:rsid w:val="00F342CF"/>
    <w:rsid w:val="00F456E2"/>
    <w:rsid w:val="00F5758A"/>
    <w:rsid w:val="00F9779F"/>
    <w:rsid w:val="00F97C6A"/>
    <w:rsid w:val="00FC2597"/>
    <w:rsid w:val="00FD0F6A"/>
    <w:rsid w:val="00FE2D1A"/>
    <w:rsid w:val="00FE59CF"/>
    <w:rsid w:val="00FE7D5C"/>
    <w:rsid w:val="00FF11E1"/>
    <w:rsid w:val="00FF1E7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3D1EF-8833-43A6-8F75-EC3150B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73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7C22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3.Mart.2019\S&#220;E_Mart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3.Mart.2019\S&#220;E_Mart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117.96619846537928</c:v>
                </c:pt>
                <c:pt idx="1">
                  <c:v>116.85366615624602</c:v>
                </c:pt>
                <c:pt idx="2">
                  <c:v>116.54895051788159</c:v>
                </c:pt>
                <c:pt idx="3">
                  <c:v>117.23339825908292</c:v>
                </c:pt>
                <c:pt idx="4">
                  <c:v>115.83566565467443</c:v>
                </c:pt>
                <c:pt idx="5">
                  <c:v>113.14737572856828</c:v>
                </c:pt>
                <c:pt idx="6">
                  <c:v>117.26186095328816</c:v>
                </c:pt>
                <c:pt idx="7">
                  <c:v>115.28227196534941</c:v>
                </c:pt>
                <c:pt idx="8">
                  <c:v>112.86806264788002</c:v>
                </c:pt>
                <c:pt idx="9">
                  <c:v>110.36657396794413</c:v>
                </c:pt>
                <c:pt idx="10">
                  <c:v>110.03278412667112</c:v>
                </c:pt>
                <c:pt idx="11">
                  <c:v>108.67591758077646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3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109.73826516247864</c:v>
                </c:pt>
                <c:pt idx="1">
                  <c:v>111.27359605215791</c:v>
                </c:pt>
                <c:pt idx="2">
                  <c:v>113.64374786197536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436311472"/>
        <c:axId val="-1436310928"/>
      </c:lineChart>
      <c:catAx>
        <c:axId val="-143631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36310928"/>
        <c:crosses val="autoZero"/>
        <c:auto val="1"/>
        <c:lblAlgn val="ctr"/>
        <c:lblOffset val="100"/>
        <c:noMultiLvlLbl val="0"/>
      </c:catAx>
      <c:valAx>
        <c:axId val="-143631092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-1436311472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103.06576851075336</c:v>
                </c:pt>
                <c:pt idx="1">
                  <c:v>109.70392945606839</c:v>
                </c:pt>
                <c:pt idx="2">
                  <c:v>117.77660472910507</c:v>
                </c:pt>
                <c:pt idx="3">
                  <c:v>115.22432505019357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436310384"/>
        <c:axId val="-1436318544"/>
      </c:lineChart>
      <c:catAx>
        <c:axId val="-143631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436318544"/>
        <c:crosses val="autoZero"/>
        <c:auto val="1"/>
        <c:lblAlgn val="ctr"/>
        <c:lblOffset val="100"/>
        <c:noMultiLvlLbl val="0"/>
      </c:catAx>
      <c:valAx>
        <c:axId val="-143631854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-14363103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226C-B614-4D3D-A988-7A2319E7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Senay</cp:lastModifiedBy>
  <cp:revision>45</cp:revision>
  <cp:lastPrinted>2019-05-14T08:09:00Z</cp:lastPrinted>
  <dcterms:created xsi:type="dcterms:W3CDTF">2019-01-22T14:10:00Z</dcterms:created>
  <dcterms:modified xsi:type="dcterms:W3CDTF">2019-05-16T09:10:00Z</dcterms:modified>
</cp:coreProperties>
</file>